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3C6C4" w14:textId="77777777" w:rsidR="00BB7695" w:rsidRDefault="00CA15F9">
      <w:pPr>
        <w:spacing w:line="580" w:lineRule="exact"/>
        <w:rPr>
          <w:rFonts w:ascii="宋体" w:eastAsia="宋体" w:hAnsi="宋体" w:cs="宋体"/>
          <w:b/>
          <w:bCs/>
          <w:sz w:val="28"/>
          <w:szCs w:val="28"/>
        </w:rPr>
      </w:pPr>
      <w:r>
        <w:rPr>
          <w:rFonts w:ascii="宋体" w:eastAsia="宋体" w:hAnsi="宋体" w:cs="宋体" w:hint="eastAsia"/>
          <w:b/>
          <w:bCs/>
          <w:sz w:val="28"/>
          <w:szCs w:val="28"/>
        </w:rPr>
        <w:t>附件</w:t>
      </w:r>
      <w:r>
        <w:rPr>
          <w:rFonts w:ascii="宋体" w:eastAsia="宋体" w:hAnsi="宋体" w:cs="宋体" w:hint="eastAsia"/>
          <w:b/>
          <w:bCs/>
          <w:sz w:val="28"/>
          <w:szCs w:val="28"/>
        </w:rPr>
        <w:t>2</w:t>
      </w:r>
    </w:p>
    <w:p w14:paraId="2C7D43F7" w14:textId="77777777" w:rsidR="00BB7695" w:rsidRDefault="00BB7695">
      <w:pPr>
        <w:spacing w:line="580" w:lineRule="exact"/>
        <w:rPr>
          <w:rFonts w:ascii="宋体" w:eastAsia="宋体" w:hAnsi="宋体" w:cs="宋体"/>
          <w:b/>
          <w:bCs/>
          <w:sz w:val="28"/>
          <w:szCs w:val="28"/>
        </w:rPr>
      </w:pPr>
    </w:p>
    <w:p w14:paraId="5CA530BF" w14:textId="77777777" w:rsidR="00BB7695" w:rsidRDefault="00CA15F9">
      <w:pPr>
        <w:spacing w:line="580" w:lineRule="exact"/>
        <w:ind w:leftChars="418" w:left="878"/>
        <w:rPr>
          <w:rFonts w:ascii="汉仪大宋简" w:eastAsia="汉仪大宋简" w:hAnsi="汉仪大宋简" w:cs="汉仪大宋简"/>
          <w:b/>
          <w:bCs/>
          <w:sz w:val="44"/>
          <w:szCs w:val="44"/>
        </w:rPr>
      </w:pPr>
      <w:r>
        <w:rPr>
          <w:rFonts w:ascii="汉仪大宋简" w:eastAsia="汉仪大宋简" w:hAnsi="汉仪大宋简" w:cs="汉仪大宋简" w:hint="eastAsia"/>
          <w:b/>
          <w:bCs/>
          <w:sz w:val="44"/>
          <w:szCs w:val="44"/>
        </w:rPr>
        <w:t>关于</w:t>
      </w:r>
      <w:proofErr w:type="gramStart"/>
      <w:r>
        <w:rPr>
          <w:rFonts w:ascii="汉仪大宋简" w:eastAsia="汉仪大宋简" w:hAnsi="汉仪大宋简" w:cs="汉仪大宋简" w:hint="eastAsia"/>
          <w:b/>
          <w:bCs/>
          <w:sz w:val="44"/>
          <w:szCs w:val="44"/>
        </w:rPr>
        <w:t>《</w:t>
      </w:r>
      <w:proofErr w:type="gramEnd"/>
      <w:r>
        <w:rPr>
          <w:rFonts w:ascii="汉仪大宋简" w:eastAsia="汉仪大宋简" w:hAnsi="汉仪大宋简" w:cs="汉仪大宋简" w:hint="eastAsia"/>
          <w:b/>
          <w:bCs/>
          <w:sz w:val="44"/>
          <w:szCs w:val="44"/>
        </w:rPr>
        <w:t>四川省城市管理行政执法条例</w:t>
      </w:r>
    </w:p>
    <w:p w14:paraId="484BFD4E" w14:textId="77777777" w:rsidR="00BB7695" w:rsidRDefault="00CA15F9">
      <w:pPr>
        <w:spacing w:line="580" w:lineRule="exact"/>
        <w:rPr>
          <w:rFonts w:ascii="汉仪大宋简" w:eastAsia="汉仪大宋简" w:hAnsi="汉仪大宋简" w:cs="汉仪大宋简"/>
          <w:b/>
          <w:bCs/>
          <w:sz w:val="44"/>
          <w:szCs w:val="44"/>
        </w:rPr>
      </w:pPr>
      <w:r>
        <w:rPr>
          <w:rFonts w:ascii="汉仪大宋简" w:eastAsia="汉仪大宋简" w:hAnsi="汉仪大宋简" w:cs="汉仪大宋简" w:hint="eastAsia"/>
          <w:b/>
          <w:bCs/>
          <w:sz w:val="44"/>
          <w:szCs w:val="44"/>
        </w:rPr>
        <w:t>（修订草案</w:t>
      </w:r>
      <w:r>
        <w:rPr>
          <w:rFonts w:ascii="汉仪大宋简" w:eastAsia="汉仪大宋简" w:hAnsi="汉仪大宋简" w:cs="汉仪大宋简" w:hint="eastAsia"/>
          <w:b/>
          <w:bCs/>
          <w:sz w:val="44"/>
          <w:szCs w:val="44"/>
        </w:rPr>
        <w:t>公开征求意见</w:t>
      </w:r>
      <w:r>
        <w:rPr>
          <w:rFonts w:ascii="汉仪大宋简" w:eastAsia="汉仪大宋简" w:hAnsi="汉仪大宋简" w:cs="汉仪大宋简" w:hint="eastAsia"/>
          <w:b/>
          <w:bCs/>
          <w:sz w:val="44"/>
          <w:szCs w:val="44"/>
        </w:rPr>
        <w:t>稿）</w:t>
      </w:r>
      <w:proofErr w:type="gramStart"/>
      <w:r>
        <w:rPr>
          <w:rFonts w:ascii="汉仪大宋简" w:eastAsia="汉仪大宋简" w:hAnsi="汉仪大宋简" w:cs="汉仪大宋简" w:hint="eastAsia"/>
          <w:b/>
          <w:bCs/>
          <w:sz w:val="44"/>
          <w:szCs w:val="44"/>
        </w:rPr>
        <w:t>》</w:t>
      </w:r>
      <w:proofErr w:type="gramEnd"/>
      <w:r>
        <w:rPr>
          <w:rFonts w:ascii="汉仪大宋简" w:eastAsia="汉仪大宋简" w:hAnsi="汉仪大宋简" w:cs="汉仪大宋简" w:hint="eastAsia"/>
          <w:b/>
          <w:bCs/>
          <w:sz w:val="44"/>
          <w:szCs w:val="44"/>
        </w:rPr>
        <w:t>的起草说明</w:t>
      </w:r>
    </w:p>
    <w:p w14:paraId="26418516" w14:textId="77777777" w:rsidR="00BB7695" w:rsidRDefault="00BB7695">
      <w:pPr>
        <w:spacing w:line="580" w:lineRule="exact"/>
        <w:ind w:firstLineChars="200" w:firstLine="881"/>
        <w:rPr>
          <w:rFonts w:ascii="汉仪大宋简" w:eastAsia="汉仪大宋简" w:hAnsi="汉仪大宋简" w:cs="汉仪大宋简"/>
          <w:b/>
          <w:bCs/>
          <w:sz w:val="44"/>
          <w:szCs w:val="44"/>
        </w:rPr>
      </w:pPr>
    </w:p>
    <w:p w14:paraId="3A9B581C" w14:textId="77777777" w:rsidR="00BB7695" w:rsidRDefault="00CA15F9">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按照《四川省人民政府</w:t>
      </w: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年立法计划》，住房城乡建设厅会同</w:t>
      </w:r>
      <w:r>
        <w:rPr>
          <w:rFonts w:ascii="仿宋" w:eastAsia="仿宋" w:hAnsi="仿宋" w:cs="仿宋" w:hint="eastAsia"/>
          <w:sz w:val="32"/>
          <w:szCs w:val="32"/>
        </w:rPr>
        <w:t>司法厅等部门</w:t>
      </w:r>
      <w:r>
        <w:rPr>
          <w:rFonts w:ascii="仿宋" w:eastAsia="仿宋" w:hAnsi="仿宋" w:cs="仿宋" w:hint="eastAsia"/>
          <w:sz w:val="32"/>
          <w:szCs w:val="32"/>
        </w:rPr>
        <w:t>就《四川省城市管理综合行政执法条例》（以下简称《条例》）修订工作开展了立法调研，在听取和吸收各方意见建议的基础上，起草了《四川省城市管理行政执法条例</w:t>
      </w:r>
      <w:r>
        <w:rPr>
          <w:rFonts w:ascii="仿宋" w:eastAsia="仿宋" w:hAnsi="仿宋" w:cs="仿宋" w:hint="eastAsia"/>
          <w:sz w:val="32"/>
          <w:szCs w:val="32"/>
        </w:rPr>
        <w:t>(</w:t>
      </w:r>
      <w:r>
        <w:rPr>
          <w:rFonts w:ascii="仿宋" w:eastAsia="仿宋" w:hAnsi="仿宋" w:cs="仿宋" w:hint="eastAsia"/>
          <w:sz w:val="32"/>
          <w:szCs w:val="32"/>
        </w:rPr>
        <w:t>修订草案</w:t>
      </w:r>
      <w:r>
        <w:rPr>
          <w:rFonts w:ascii="仿宋" w:eastAsia="仿宋" w:hAnsi="仿宋" w:cs="仿宋" w:hint="eastAsia"/>
          <w:sz w:val="32"/>
          <w:szCs w:val="32"/>
        </w:rPr>
        <w:t>公开征求意见</w:t>
      </w:r>
      <w:r>
        <w:rPr>
          <w:rFonts w:ascii="仿宋" w:eastAsia="仿宋" w:hAnsi="仿宋" w:cs="仿宋" w:hint="eastAsia"/>
          <w:sz w:val="32"/>
          <w:szCs w:val="32"/>
        </w:rPr>
        <w:t>稿</w:t>
      </w:r>
      <w:r>
        <w:rPr>
          <w:rFonts w:ascii="仿宋" w:eastAsia="仿宋" w:hAnsi="仿宋" w:cs="仿宋" w:hint="eastAsia"/>
          <w:sz w:val="32"/>
          <w:szCs w:val="32"/>
        </w:rPr>
        <w:t>)</w:t>
      </w:r>
      <w:r>
        <w:rPr>
          <w:rFonts w:ascii="仿宋" w:eastAsia="仿宋" w:hAnsi="仿宋" w:cs="仿宋" w:hint="eastAsia"/>
          <w:sz w:val="32"/>
          <w:szCs w:val="32"/>
        </w:rPr>
        <w:t>》。现就起草工作</w:t>
      </w:r>
      <w:proofErr w:type="gramStart"/>
      <w:r>
        <w:rPr>
          <w:rFonts w:ascii="仿宋" w:eastAsia="仿宋" w:hAnsi="仿宋" w:cs="仿宋" w:hint="eastAsia"/>
          <w:sz w:val="32"/>
          <w:szCs w:val="32"/>
        </w:rPr>
        <w:t>作</w:t>
      </w:r>
      <w:proofErr w:type="gramEnd"/>
      <w:r>
        <w:rPr>
          <w:rFonts w:ascii="仿宋" w:eastAsia="仿宋" w:hAnsi="仿宋" w:cs="仿宋" w:hint="eastAsia"/>
          <w:sz w:val="32"/>
          <w:szCs w:val="32"/>
        </w:rPr>
        <w:t>如下说明。</w:t>
      </w:r>
    </w:p>
    <w:p w14:paraId="74901012" w14:textId="77777777" w:rsidR="00BB7695" w:rsidRDefault="00CA15F9">
      <w:pPr>
        <w:numPr>
          <w:ilvl w:val="0"/>
          <w:numId w:val="4"/>
        </w:numPr>
        <w:spacing w:line="58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修订《条例》的必要性</w:t>
      </w:r>
    </w:p>
    <w:p w14:paraId="55C583F0" w14:textId="77777777" w:rsidR="00BB7695" w:rsidRDefault="00CA15F9">
      <w:pPr>
        <w:spacing w:line="580" w:lineRule="exact"/>
        <w:ind w:firstLineChars="200" w:firstLine="640"/>
        <w:rPr>
          <w:rFonts w:ascii="仿宋" w:eastAsia="仿宋" w:hAnsi="仿宋" w:cs="仿宋"/>
          <w:b/>
          <w:bCs/>
          <w:color w:val="FF0000"/>
          <w:sz w:val="32"/>
          <w:szCs w:val="32"/>
        </w:rPr>
      </w:pPr>
      <w:r>
        <w:rPr>
          <w:rFonts w:ascii="仿宋" w:eastAsia="仿宋" w:hAnsi="仿宋" w:cs="仿宋" w:hint="eastAsia"/>
          <w:color w:val="000000"/>
          <w:sz w:val="32"/>
          <w:szCs w:val="32"/>
        </w:rPr>
        <w:t>为解决城市管理执法工作中长期存在的管理体制不顺、职责边界不清、法律法规不健全、管理方式简单、服务意识不强、执法行为粗放等问题，</w:t>
      </w:r>
      <w:r>
        <w:rPr>
          <w:rFonts w:ascii="仿宋" w:eastAsia="仿宋" w:hAnsi="仿宋" w:cs="仿宋" w:hint="eastAsia"/>
          <w:color w:val="000000"/>
          <w:sz w:val="32"/>
          <w:szCs w:val="32"/>
        </w:rPr>
        <w:t>2015</w:t>
      </w:r>
      <w:r>
        <w:rPr>
          <w:rFonts w:ascii="仿宋" w:eastAsia="仿宋" w:hAnsi="仿宋" w:cs="仿宋" w:hint="eastAsia"/>
          <w:color w:val="000000"/>
          <w:sz w:val="32"/>
          <w:szCs w:val="32"/>
        </w:rPr>
        <w:t>年底中央启动城市执法体制改革，我省随后出台《</w:t>
      </w:r>
      <w:r>
        <w:rPr>
          <w:rFonts w:ascii="仿宋" w:eastAsia="仿宋" w:hAnsi="仿宋" w:cs="仿宋" w:hint="eastAsia"/>
          <w:bCs/>
          <w:sz w:val="32"/>
          <w:szCs w:val="32"/>
        </w:rPr>
        <w:t>中共四川省委四川省人民政府关于深入推进城市执法体制改革改进城市管</w:t>
      </w:r>
      <w:r>
        <w:rPr>
          <w:rFonts w:ascii="仿宋" w:eastAsia="仿宋" w:hAnsi="仿宋" w:cs="仿宋" w:hint="eastAsia"/>
          <w:bCs/>
          <w:sz w:val="32"/>
          <w:szCs w:val="32"/>
        </w:rPr>
        <w:t>理工作的实施意见》（</w:t>
      </w:r>
      <w:proofErr w:type="gramStart"/>
      <w:r>
        <w:rPr>
          <w:rFonts w:ascii="仿宋" w:eastAsia="仿宋" w:hAnsi="仿宋" w:cs="仿宋" w:hint="eastAsia"/>
          <w:bCs/>
          <w:sz w:val="32"/>
          <w:szCs w:val="32"/>
        </w:rPr>
        <w:t>川委发</w:t>
      </w:r>
      <w:proofErr w:type="gramEnd"/>
      <w:r>
        <w:rPr>
          <w:rFonts w:ascii="仿宋" w:eastAsia="仿宋" w:hAnsi="仿宋" w:cs="仿宋" w:hint="eastAsia"/>
          <w:bCs/>
          <w:sz w:val="32"/>
          <w:szCs w:val="32"/>
        </w:rPr>
        <w:t>[2017]5</w:t>
      </w:r>
      <w:r>
        <w:rPr>
          <w:rFonts w:ascii="仿宋" w:eastAsia="仿宋" w:hAnsi="仿宋" w:cs="仿宋" w:hint="eastAsia"/>
          <w:bCs/>
          <w:sz w:val="32"/>
          <w:szCs w:val="32"/>
        </w:rPr>
        <w:t>号，以下简称“省委</w:t>
      </w:r>
      <w:r>
        <w:rPr>
          <w:rFonts w:ascii="仿宋" w:eastAsia="仿宋" w:hAnsi="仿宋" w:cs="仿宋" w:hint="eastAsia"/>
          <w:bCs/>
          <w:sz w:val="32"/>
          <w:szCs w:val="32"/>
        </w:rPr>
        <w:t>5</w:t>
      </w:r>
      <w:r>
        <w:rPr>
          <w:rFonts w:ascii="仿宋" w:eastAsia="仿宋" w:hAnsi="仿宋" w:cs="仿宋" w:hint="eastAsia"/>
          <w:bCs/>
          <w:sz w:val="32"/>
          <w:szCs w:val="32"/>
        </w:rPr>
        <w:t>号文”）。</w:t>
      </w:r>
      <w:r>
        <w:rPr>
          <w:rFonts w:ascii="仿宋" w:eastAsia="仿宋" w:hAnsi="仿宋" w:cs="仿宋" w:hint="eastAsia"/>
          <w:sz w:val="32"/>
          <w:szCs w:val="32"/>
        </w:rPr>
        <w:t>省委</w:t>
      </w:r>
      <w:r>
        <w:rPr>
          <w:rFonts w:ascii="仿宋" w:eastAsia="仿宋" w:hAnsi="仿宋" w:cs="仿宋" w:hint="eastAsia"/>
          <w:sz w:val="32"/>
          <w:szCs w:val="32"/>
        </w:rPr>
        <w:t>5</w:t>
      </w:r>
      <w:r>
        <w:rPr>
          <w:rFonts w:ascii="仿宋" w:eastAsia="仿宋" w:hAnsi="仿宋" w:cs="仿宋" w:hint="eastAsia"/>
          <w:sz w:val="32"/>
          <w:szCs w:val="32"/>
        </w:rPr>
        <w:t>号</w:t>
      </w:r>
      <w:proofErr w:type="gramStart"/>
      <w:r>
        <w:rPr>
          <w:rFonts w:ascii="仿宋" w:eastAsia="仿宋" w:hAnsi="仿宋" w:cs="仿宋" w:hint="eastAsia"/>
          <w:sz w:val="32"/>
          <w:szCs w:val="32"/>
        </w:rPr>
        <w:t>文全面</w:t>
      </w:r>
      <w:proofErr w:type="gramEnd"/>
      <w:r>
        <w:rPr>
          <w:rFonts w:ascii="仿宋" w:eastAsia="仿宋" w:hAnsi="仿宋" w:cs="仿宋" w:hint="eastAsia"/>
          <w:sz w:val="32"/>
          <w:szCs w:val="32"/>
        </w:rPr>
        <w:t>总结我省城市管理执法工作实践经验，界定了城市管理执法主体和城市管理执法范围，在“下移执法重心”、“强化执法队伍建设”、“严格规范城市执法行为”、“完善保障机制建设”等方面作了全面制度设计。改革后，城市管理执法工作涉及的专业性法规、规章众多，仅在省级层面就有数十部地方性法规、规章，市（州）层面有相</w:t>
      </w:r>
      <w:r>
        <w:rPr>
          <w:rFonts w:ascii="仿宋" w:eastAsia="仿宋" w:hAnsi="仿宋" w:cs="仿宋" w:hint="eastAsia"/>
          <w:color w:val="000000" w:themeColor="text1"/>
          <w:sz w:val="32"/>
          <w:szCs w:val="32"/>
        </w:rPr>
        <w:t>关地方性</w:t>
      </w:r>
      <w:r>
        <w:rPr>
          <w:rFonts w:ascii="仿宋" w:eastAsia="仿宋" w:hAnsi="仿宋" w:cs="仿宋" w:hint="eastAsia"/>
          <w:color w:val="000000" w:themeColor="text1"/>
          <w:sz w:val="32"/>
          <w:szCs w:val="32"/>
        </w:rPr>
        <w:lastRenderedPageBreak/>
        <w:t>法规、规章上百部，涉及近千项行政处罚事项。同时，</w:t>
      </w:r>
      <w:r>
        <w:rPr>
          <w:rFonts w:ascii="仿宋" w:eastAsia="仿宋" w:hAnsi="仿宋" w:cs="仿宋" w:hint="eastAsia"/>
          <w:bCs/>
          <w:color w:val="000000" w:themeColor="text1"/>
          <w:sz w:val="32"/>
          <w:szCs w:val="32"/>
        </w:rPr>
        <w:t>现行《条例》规定“省人民政府法制机构负责全省城市管理相对集中行政处罚权有关工作的指导、协调和监督”，与</w:t>
      </w:r>
      <w:r>
        <w:rPr>
          <w:rFonts w:ascii="仿宋" w:eastAsia="仿宋" w:hAnsi="仿宋" w:cs="仿宋" w:hint="eastAsia"/>
          <w:color w:val="000000" w:themeColor="text1"/>
          <w:sz w:val="32"/>
          <w:szCs w:val="32"/>
        </w:rPr>
        <w:t>省委</w:t>
      </w:r>
      <w:r>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rPr>
        <w:t>号文关于“住房城乡建设厅为全省城市管理和执法的行政主管部门”的规定不一致。作为我省城市管理领域的综合性法规，现行《条例》制定于</w:t>
      </w:r>
      <w:r>
        <w:rPr>
          <w:rFonts w:ascii="仿宋" w:eastAsia="仿宋" w:hAnsi="仿宋" w:cs="仿宋" w:hint="eastAsia"/>
          <w:color w:val="000000" w:themeColor="text1"/>
          <w:sz w:val="32"/>
          <w:szCs w:val="32"/>
        </w:rPr>
        <w:t>201</w:t>
      </w: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年，在一些方面已不能满足</w:t>
      </w:r>
      <w:r>
        <w:rPr>
          <w:rFonts w:ascii="仿宋" w:eastAsia="仿宋" w:hAnsi="仿宋" w:cs="仿宋" w:hint="eastAsia"/>
          <w:sz w:val="32"/>
          <w:szCs w:val="32"/>
        </w:rPr>
        <w:t>城市执法体制改革后我省城市管理执法工作的实际需要。省委</w:t>
      </w:r>
      <w:r>
        <w:rPr>
          <w:rFonts w:ascii="仿宋" w:eastAsia="仿宋" w:hAnsi="仿宋" w:cs="仿宋" w:hint="eastAsia"/>
          <w:sz w:val="32"/>
          <w:szCs w:val="32"/>
        </w:rPr>
        <w:t>5</w:t>
      </w:r>
      <w:r>
        <w:rPr>
          <w:rFonts w:ascii="仿宋" w:eastAsia="仿宋" w:hAnsi="仿宋" w:cs="仿宋" w:hint="eastAsia"/>
          <w:sz w:val="32"/>
          <w:szCs w:val="32"/>
        </w:rPr>
        <w:t>号文提出“到</w:t>
      </w:r>
      <w:r>
        <w:rPr>
          <w:rFonts w:ascii="仿宋" w:eastAsia="仿宋" w:hAnsi="仿宋" w:cs="仿宋" w:hint="eastAsia"/>
          <w:sz w:val="32"/>
          <w:szCs w:val="32"/>
        </w:rPr>
        <w:t>2020</w:t>
      </w:r>
      <w:r>
        <w:rPr>
          <w:rFonts w:ascii="仿宋" w:eastAsia="仿宋" w:hAnsi="仿宋" w:cs="仿宋" w:hint="eastAsia"/>
          <w:sz w:val="32"/>
          <w:szCs w:val="32"/>
        </w:rPr>
        <w:t>年，全省城市管理执法体制基本理顺，法规和标准体系基本完善，机构和队伍建设明显加强，保障机制初步完善，现代城市治理体系初步形成，城市管理效能大幅提高，人民群众满意度显著提升</w:t>
      </w:r>
      <w:r>
        <w:rPr>
          <w:rFonts w:ascii="仿宋" w:eastAsia="仿宋" w:hAnsi="仿宋" w:cs="仿宋" w:hint="eastAsia"/>
          <w:sz w:val="32"/>
          <w:szCs w:val="32"/>
        </w:rPr>
        <w:t>”总体目标，明确要求“坚持改革与立法的有机衔接，加强城市管理和执法方面的立法工作，及时修订《四川省城市管理综合行政执法条例》”。</w:t>
      </w:r>
    </w:p>
    <w:p w14:paraId="156382B4" w14:textId="77777777" w:rsidR="00BB7695" w:rsidRDefault="00CA15F9">
      <w:pPr>
        <w:spacing w:line="58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二、修订《条例》的法律依据</w:t>
      </w:r>
    </w:p>
    <w:p w14:paraId="2599F82D" w14:textId="77777777" w:rsidR="00BB7695" w:rsidRDefault="00CA15F9">
      <w:pPr>
        <w:spacing w:line="580" w:lineRule="exact"/>
        <w:rPr>
          <w:rFonts w:ascii="仿宋" w:eastAsia="仿宋" w:hAnsi="仿宋" w:cs="仿宋"/>
          <w:b/>
          <w:bCs/>
          <w:sz w:val="32"/>
          <w:szCs w:val="32"/>
        </w:rPr>
      </w:pPr>
      <w:r>
        <w:rPr>
          <w:rFonts w:ascii="仿宋_GB2312" w:eastAsia="仿宋_GB2312" w:hAnsi="仿宋_GB2312" w:cs="仿宋_GB2312"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《条例》（修订）主要以《行政处罚法》《行政强制法》等有关法律法规和《中共中央国务院关于深入推进城市执法体制改革改进城市管理工作的指导意见》（中发</w:t>
      </w:r>
      <w:r>
        <w:rPr>
          <w:rFonts w:ascii="仿宋" w:eastAsia="仿宋" w:hAnsi="仿宋" w:cs="仿宋" w:hint="eastAsia"/>
          <w:sz w:val="32"/>
          <w:szCs w:val="32"/>
        </w:rPr>
        <w:t>[2015]37</w:t>
      </w:r>
      <w:r>
        <w:rPr>
          <w:rFonts w:ascii="仿宋" w:eastAsia="仿宋" w:hAnsi="仿宋" w:cs="仿宋" w:hint="eastAsia"/>
          <w:sz w:val="32"/>
          <w:szCs w:val="32"/>
        </w:rPr>
        <w:t>号，以下简称“中央</w:t>
      </w:r>
      <w:r>
        <w:rPr>
          <w:rFonts w:ascii="仿宋" w:eastAsia="仿宋" w:hAnsi="仿宋" w:cs="仿宋" w:hint="eastAsia"/>
          <w:sz w:val="32"/>
          <w:szCs w:val="32"/>
        </w:rPr>
        <w:t>37</w:t>
      </w:r>
      <w:r>
        <w:rPr>
          <w:rFonts w:ascii="仿宋" w:eastAsia="仿宋" w:hAnsi="仿宋" w:cs="仿宋" w:hint="eastAsia"/>
          <w:sz w:val="32"/>
          <w:szCs w:val="32"/>
        </w:rPr>
        <w:t>号文”）、省委</w:t>
      </w:r>
      <w:r>
        <w:rPr>
          <w:rFonts w:ascii="仿宋" w:eastAsia="仿宋" w:hAnsi="仿宋" w:cs="仿宋" w:hint="eastAsia"/>
          <w:sz w:val="32"/>
          <w:szCs w:val="32"/>
        </w:rPr>
        <w:t>5</w:t>
      </w:r>
      <w:r>
        <w:rPr>
          <w:rFonts w:ascii="仿宋" w:eastAsia="仿宋" w:hAnsi="仿宋" w:cs="仿宋" w:hint="eastAsia"/>
          <w:sz w:val="32"/>
          <w:szCs w:val="32"/>
        </w:rPr>
        <w:t>号文等文件为依据，参考了《城市管理执法办法》（住房城乡建设部令第</w:t>
      </w:r>
      <w:r>
        <w:rPr>
          <w:rFonts w:ascii="仿宋" w:eastAsia="仿宋" w:hAnsi="仿宋" w:cs="仿宋" w:hint="eastAsia"/>
          <w:sz w:val="32"/>
          <w:szCs w:val="32"/>
        </w:rPr>
        <w:t>34</w:t>
      </w:r>
      <w:r>
        <w:rPr>
          <w:rFonts w:ascii="仿宋" w:eastAsia="仿宋" w:hAnsi="仿宋" w:cs="仿宋" w:hint="eastAsia"/>
          <w:sz w:val="32"/>
          <w:szCs w:val="32"/>
        </w:rPr>
        <w:t>号），并借鉴了湖南、陕西、广西、甘肃</w:t>
      </w:r>
      <w:r>
        <w:rPr>
          <w:rFonts w:ascii="仿宋" w:eastAsia="仿宋" w:hAnsi="仿宋" w:cs="仿宋" w:hint="eastAsia"/>
          <w:sz w:val="32"/>
          <w:szCs w:val="32"/>
        </w:rPr>
        <w:t>、上海、贵州</w:t>
      </w:r>
      <w:r>
        <w:rPr>
          <w:rFonts w:ascii="仿宋" w:eastAsia="仿宋" w:hAnsi="仿宋" w:cs="仿宋" w:hint="eastAsia"/>
          <w:sz w:val="32"/>
          <w:szCs w:val="32"/>
        </w:rPr>
        <w:t>等省</w:t>
      </w:r>
      <w:r>
        <w:rPr>
          <w:rFonts w:ascii="仿宋" w:eastAsia="仿宋" w:hAnsi="仿宋" w:cs="仿宋" w:hint="eastAsia"/>
          <w:sz w:val="32"/>
          <w:szCs w:val="32"/>
        </w:rPr>
        <w:t>（市、</w:t>
      </w:r>
      <w:r>
        <w:rPr>
          <w:rFonts w:ascii="仿宋" w:eastAsia="仿宋" w:hAnsi="仿宋" w:cs="仿宋" w:hint="eastAsia"/>
          <w:sz w:val="32"/>
          <w:szCs w:val="32"/>
        </w:rPr>
        <w:t>区</w:t>
      </w:r>
      <w:r>
        <w:rPr>
          <w:rFonts w:ascii="仿宋" w:eastAsia="仿宋" w:hAnsi="仿宋" w:cs="仿宋" w:hint="eastAsia"/>
          <w:sz w:val="32"/>
          <w:szCs w:val="32"/>
        </w:rPr>
        <w:t>）</w:t>
      </w:r>
      <w:r>
        <w:rPr>
          <w:rFonts w:ascii="仿宋" w:eastAsia="仿宋" w:hAnsi="仿宋" w:cs="仿宋" w:hint="eastAsia"/>
          <w:sz w:val="32"/>
          <w:szCs w:val="32"/>
        </w:rPr>
        <w:t>的城市管理执法立法经验。</w:t>
      </w:r>
    </w:p>
    <w:p w14:paraId="1ED2A673" w14:textId="77777777" w:rsidR="00BB7695" w:rsidRDefault="00CA15F9">
      <w:pPr>
        <w:spacing w:line="58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三、起草过程</w:t>
      </w:r>
    </w:p>
    <w:p w14:paraId="124843ED" w14:textId="77777777" w:rsidR="00BB7695" w:rsidRDefault="00CA15F9">
      <w:pPr>
        <w:ind w:firstLine="641"/>
        <w:rPr>
          <w:rFonts w:ascii="仿宋" w:eastAsia="仿宋" w:hAnsi="仿宋" w:cs="仿宋"/>
          <w:b/>
          <w:bCs/>
          <w:sz w:val="32"/>
          <w:szCs w:val="32"/>
        </w:rPr>
      </w:pP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2</w:t>
      </w:r>
      <w:r>
        <w:rPr>
          <w:rFonts w:ascii="仿宋" w:eastAsia="仿宋" w:hAnsi="仿宋" w:cs="仿宋" w:hint="eastAsia"/>
          <w:sz w:val="32"/>
          <w:szCs w:val="32"/>
        </w:rPr>
        <w:t>月，《条例》（修订）列入省政府</w:t>
      </w:r>
      <w:r>
        <w:rPr>
          <w:rFonts w:ascii="仿宋" w:eastAsia="仿宋" w:hAnsi="仿宋" w:cs="仿宋" w:hint="eastAsia"/>
          <w:sz w:val="32"/>
          <w:szCs w:val="32"/>
        </w:rPr>
        <w:t>2020</w:t>
      </w:r>
      <w:r>
        <w:rPr>
          <w:rFonts w:ascii="仿宋" w:eastAsia="仿宋" w:hAnsi="仿宋" w:cs="仿宋" w:hint="eastAsia"/>
          <w:sz w:val="32"/>
          <w:szCs w:val="32"/>
        </w:rPr>
        <w:t>年立</w:t>
      </w:r>
      <w:r>
        <w:rPr>
          <w:rFonts w:ascii="仿宋" w:eastAsia="仿宋" w:hAnsi="仿宋" w:cs="仿宋" w:hint="eastAsia"/>
          <w:sz w:val="32"/>
          <w:szCs w:val="32"/>
        </w:rPr>
        <w:lastRenderedPageBreak/>
        <w:t>法计划，由住房城乡建设厅负责组织起草。为做好《条例》（修订）的调研起草工作，有序推进立法</w:t>
      </w:r>
      <w:r>
        <w:rPr>
          <w:rFonts w:ascii="仿宋" w:eastAsia="仿宋" w:hAnsi="仿宋" w:cs="仿宋" w:hint="eastAsia"/>
          <w:sz w:val="32"/>
          <w:szCs w:val="32"/>
        </w:rPr>
        <w:t>进程，我厅成立了以分管厅领导为组长、相关处室及部分市级城市管理执法部门负责人为成员的调研起草工作组（以下简称“起草工作组”），制定了专项工作方案。起草工作组</w:t>
      </w:r>
      <w:r>
        <w:rPr>
          <w:rFonts w:ascii="仿宋" w:eastAsia="仿宋" w:hAnsi="仿宋" w:cs="仿宋" w:hint="eastAsia"/>
          <w:sz w:val="32"/>
          <w:szCs w:val="32"/>
        </w:rPr>
        <w:t>会同</w:t>
      </w:r>
      <w:r>
        <w:rPr>
          <w:rFonts w:ascii="仿宋" w:eastAsia="仿宋" w:hAnsi="仿宋" w:cs="仿宋" w:hint="eastAsia"/>
          <w:sz w:val="32"/>
          <w:szCs w:val="32"/>
        </w:rPr>
        <w:t>司法厅</w:t>
      </w:r>
      <w:r>
        <w:rPr>
          <w:rFonts w:ascii="仿宋" w:eastAsia="仿宋" w:hAnsi="仿宋" w:cs="仿宋" w:hint="eastAsia"/>
          <w:sz w:val="32"/>
          <w:szCs w:val="32"/>
        </w:rPr>
        <w:t>相关领导赴省内外深入调研，广泛听取基层意见，学习借鉴省外先进经验</w:t>
      </w:r>
      <w:r>
        <w:rPr>
          <w:rFonts w:ascii="仿宋" w:eastAsia="仿宋" w:hAnsi="仿宋" w:cs="仿宋" w:hint="eastAsia"/>
          <w:sz w:val="32"/>
          <w:szCs w:val="32"/>
        </w:rPr>
        <w:t>，并</w:t>
      </w:r>
      <w:r>
        <w:rPr>
          <w:rFonts w:ascii="仿宋" w:eastAsia="仿宋" w:hAnsi="仿宋" w:cs="仿宋" w:hint="eastAsia"/>
          <w:sz w:val="32"/>
          <w:szCs w:val="32"/>
        </w:rPr>
        <w:t>征求了</w:t>
      </w:r>
      <w:r>
        <w:rPr>
          <w:rFonts w:ascii="仿宋" w:eastAsia="仿宋" w:hAnsi="仿宋" w:cs="仿宋" w:hint="eastAsia"/>
          <w:sz w:val="32"/>
          <w:szCs w:val="32"/>
        </w:rPr>
        <w:t>20</w:t>
      </w:r>
      <w:r>
        <w:rPr>
          <w:rFonts w:ascii="仿宋" w:eastAsia="仿宋" w:hAnsi="仿宋" w:cs="仿宋" w:hint="eastAsia"/>
          <w:sz w:val="32"/>
          <w:szCs w:val="32"/>
        </w:rPr>
        <w:t>个省直相关部门、</w:t>
      </w:r>
      <w:r>
        <w:rPr>
          <w:rFonts w:ascii="仿宋" w:eastAsia="仿宋" w:hAnsi="仿宋" w:cs="仿宋" w:hint="eastAsia"/>
          <w:sz w:val="32"/>
          <w:szCs w:val="32"/>
        </w:rPr>
        <w:t>21</w:t>
      </w:r>
      <w:r>
        <w:rPr>
          <w:rFonts w:ascii="仿宋" w:eastAsia="仿宋" w:hAnsi="仿宋" w:cs="仿宋" w:hint="eastAsia"/>
          <w:sz w:val="32"/>
          <w:szCs w:val="32"/>
        </w:rPr>
        <w:t>个市（州）</w:t>
      </w:r>
      <w:r>
        <w:rPr>
          <w:rFonts w:ascii="仿宋" w:eastAsia="仿宋" w:hAnsi="仿宋" w:cs="仿宋" w:hint="eastAsia"/>
          <w:sz w:val="32"/>
          <w:szCs w:val="32"/>
        </w:rPr>
        <w:t>住房城乡建设（</w:t>
      </w:r>
      <w:r>
        <w:rPr>
          <w:rFonts w:ascii="仿宋" w:eastAsia="仿宋" w:hAnsi="仿宋" w:cs="仿宋" w:hint="eastAsia"/>
          <w:sz w:val="32"/>
          <w:szCs w:val="32"/>
        </w:rPr>
        <w:t>城市管理执法</w:t>
      </w:r>
      <w:r>
        <w:rPr>
          <w:rFonts w:ascii="仿宋" w:eastAsia="仿宋" w:hAnsi="仿宋" w:cs="仿宋" w:hint="eastAsia"/>
          <w:sz w:val="32"/>
          <w:szCs w:val="32"/>
        </w:rPr>
        <w:t>）行政主管</w:t>
      </w:r>
      <w:r>
        <w:rPr>
          <w:rFonts w:ascii="仿宋" w:eastAsia="仿宋" w:hAnsi="仿宋" w:cs="仿宋" w:hint="eastAsia"/>
          <w:sz w:val="32"/>
          <w:szCs w:val="32"/>
        </w:rPr>
        <w:t>部门以及厅内各处室（单位）的意见，组织相关专家进行专题论证。根据收集到的意见建议，起草工作组对《四川省城市管理行政执法条例（修订草案征求意见稿）》作了进一步修改完善，形成《四川省城市管理行政执法条例（修</w:t>
      </w:r>
      <w:r>
        <w:rPr>
          <w:rFonts w:ascii="仿宋" w:eastAsia="仿宋" w:hAnsi="仿宋" w:cs="仿宋" w:hint="eastAsia"/>
          <w:sz w:val="32"/>
          <w:szCs w:val="32"/>
        </w:rPr>
        <w:t>订草案</w:t>
      </w:r>
      <w:r>
        <w:rPr>
          <w:rFonts w:ascii="仿宋" w:eastAsia="仿宋" w:hAnsi="仿宋" w:cs="仿宋" w:hint="eastAsia"/>
          <w:sz w:val="32"/>
          <w:szCs w:val="32"/>
        </w:rPr>
        <w:t>公开征求意见稿</w:t>
      </w:r>
      <w:r>
        <w:rPr>
          <w:rFonts w:ascii="仿宋" w:eastAsia="仿宋" w:hAnsi="仿宋" w:cs="仿宋" w:hint="eastAsia"/>
          <w:sz w:val="32"/>
          <w:szCs w:val="32"/>
        </w:rPr>
        <w:t>）》。</w:t>
      </w:r>
    </w:p>
    <w:p w14:paraId="79628CC6" w14:textId="77777777" w:rsidR="00BB7695" w:rsidRDefault="00CA15F9">
      <w:pPr>
        <w:ind w:leftChars="200" w:left="420" w:firstLineChars="100" w:firstLine="321"/>
        <w:rPr>
          <w:rFonts w:ascii="黑体" w:eastAsia="黑体" w:hAnsi="黑体" w:cs="黑体"/>
          <w:b/>
          <w:bCs/>
          <w:sz w:val="32"/>
          <w:szCs w:val="32"/>
        </w:rPr>
      </w:pPr>
      <w:r>
        <w:rPr>
          <w:rFonts w:ascii="黑体" w:eastAsia="黑体" w:hAnsi="黑体" w:cs="黑体" w:hint="eastAsia"/>
          <w:b/>
          <w:bCs/>
          <w:sz w:val="32"/>
          <w:szCs w:val="32"/>
        </w:rPr>
        <w:t>四、主要问题说明</w:t>
      </w:r>
    </w:p>
    <w:p w14:paraId="54BF722D" w14:textId="77777777" w:rsidR="00BB7695" w:rsidRDefault="00CA15F9">
      <w:pPr>
        <w:ind w:firstLineChars="200" w:firstLine="643"/>
        <w:rPr>
          <w:rFonts w:ascii="仿宋" w:eastAsia="仿宋" w:hAnsi="仿宋" w:cs="仿宋"/>
          <w:bCs/>
          <w:color w:val="000000" w:themeColor="text1"/>
          <w:sz w:val="32"/>
          <w:szCs w:val="32"/>
        </w:rPr>
      </w:pPr>
      <w:r>
        <w:rPr>
          <w:rFonts w:ascii="楷体" w:eastAsia="楷体" w:hAnsi="楷体" w:cs="楷体" w:hint="eastAsia"/>
          <w:b/>
          <w:bCs/>
          <w:sz w:val="32"/>
          <w:szCs w:val="32"/>
        </w:rPr>
        <w:t>（一）关于城市管理执法范围。</w:t>
      </w:r>
      <w:r>
        <w:rPr>
          <w:rFonts w:ascii="仿宋" w:eastAsia="仿宋" w:hAnsi="仿宋" w:cs="仿宋" w:hint="eastAsia"/>
          <w:sz w:val="32"/>
          <w:szCs w:val="32"/>
        </w:rPr>
        <w:t>科学合理的界定城市管理执法范围，厘清城管执法部门与有关行政管理部门之间的关系，是解决多头执法问题和提高执法效率的关键。现行《条例》第十二条规定了城市管理执法部门集中行使城市规划管理、城市市容和环境卫生管理、市政管理、城市绿化管理、环境保护管理</w:t>
      </w:r>
      <w:r>
        <w:rPr>
          <w:rFonts w:ascii="仿宋" w:eastAsia="仿宋" w:hAnsi="仿宋" w:cs="仿宋" w:hint="eastAsia"/>
          <w:color w:val="000000" w:themeColor="text1"/>
          <w:sz w:val="32"/>
          <w:szCs w:val="32"/>
        </w:rPr>
        <w:t>、城市道路和广场等公共场所流动经营、侵占城市道路等</w:t>
      </w:r>
      <w:r>
        <w:rPr>
          <w:rFonts w:ascii="仿宋" w:eastAsia="仿宋" w:hAnsi="仿宋" w:cs="仿宋" w:hint="eastAsia"/>
          <w:color w:val="000000" w:themeColor="text1"/>
          <w:sz w:val="32"/>
          <w:szCs w:val="32"/>
        </w:rPr>
        <w:t>7</w:t>
      </w:r>
      <w:r>
        <w:rPr>
          <w:rFonts w:ascii="仿宋" w:eastAsia="仿宋" w:hAnsi="仿宋" w:cs="仿宋" w:hint="eastAsia"/>
          <w:color w:val="000000" w:themeColor="text1"/>
          <w:sz w:val="32"/>
          <w:szCs w:val="32"/>
        </w:rPr>
        <w:t>个方面的行政处罚权</w:t>
      </w:r>
      <w:r>
        <w:rPr>
          <w:rFonts w:ascii="仿宋" w:eastAsia="仿宋" w:hAnsi="仿宋" w:cs="仿宋" w:hint="eastAsia"/>
          <w:bCs/>
          <w:color w:val="000000" w:themeColor="text1"/>
          <w:sz w:val="32"/>
          <w:szCs w:val="32"/>
        </w:rPr>
        <w:t>，其中部分行政处罚权已不适应机构改革和城市执法体制改革后对城市管理执法部门职能职责的要求。</w:t>
      </w:r>
      <w:r>
        <w:rPr>
          <w:rFonts w:ascii="仿宋" w:eastAsia="仿宋" w:hAnsi="仿宋" w:cs="仿宋" w:hint="eastAsia"/>
          <w:bCs/>
          <w:color w:val="000000" w:themeColor="text1"/>
          <w:sz w:val="32"/>
          <w:szCs w:val="32"/>
        </w:rPr>
        <w:t xml:space="preserve"> </w:t>
      </w:r>
    </w:p>
    <w:p w14:paraId="4F8C1811" w14:textId="77777777" w:rsidR="00BB7695" w:rsidRDefault="00CA15F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sz w:val="32"/>
          <w:szCs w:val="32"/>
          <w:shd w:val="clear" w:color="auto" w:fill="FFFFFF"/>
        </w:rPr>
        <w:lastRenderedPageBreak/>
        <w:t>2018</w:t>
      </w:r>
      <w:r>
        <w:rPr>
          <w:rFonts w:ascii="仿宋" w:eastAsia="仿宋" w:hAnsi="仿宋" w:cs="仿宋" w:hint="eastAsia"/>
          <w:sz w:val="32"/>
          <w:szCs w:val="32"/>
          <w:shd w:val="clear" w:color="auto" w:fill="FFFFFF"/>
        </w:rPr>
        <w:t>年机构改革后，国土空间规划执法职责已划入自然资源部门，且目前国家正在推行生态环境保护、市场监管、交通运输、文化市场、农业等</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个领域的综合执法改革，今后城市管理执法具体事项可能将进一步调整。为保持立法的稳定性，避免今后因政策变动频繁修改，《条例》</w:t>
      </w:r>
      <w:r>
        <w:rPr>
          <w:rFonts w:ascii="仿宋" w:eastAsia="仿宋" w:hAnsi="仿宋" w:cs="仿宋" w:hint="eastAsia"/>
          <w:sz w:val="32"/>
          <w:szCs w:val="32"/>
        </w:rPr>
        <w:t>（修订草案</w:t>
      </w:r>
      <w:r>
        <w:rPr>
          <w:rFonts w:ascii="仿宋" w:eastAsia="仿宋" w:hAnsi="仿宋" w:cs="仿宋" w:hint="eastAsia"/>
          <w:sz w:val="32"/>
          <w:szCs w:val="32"/>
        </w:rPr>
        <w:t>公开征求意见稿</w:t>
      </w:r>
      <w:r>
        <w:rPr>
          <w:rFonts w:ascii="仿宋" w:eastAsia="仿宋" w:hAnsi="仿宋" w:cs="仿宋" w:hint="eastAsia"/>
          <w:sz w:val="32"/>
          <w:szCs w:val="32"/>
        </w:rPr>
        <w:t>）</w:t>
      </w:r>
      <w:r>
        <w:rPr>
          <w:rFonts w:ascii="仿宋" w:eastAsia="仿宋" w:hAnsi="仿宋" w:cs="仿宋" w:hint="eastAsia"/>
          <w:sz w:val="32"/>
          <w:szCs w:val="32"/>
          <w:shd w:val="clear" w:color="auto" w:fill="FFFFFF"/>
        </w:rPr>
        <w:t>未对城市管理执法具体事项</w:t>
      </w:r>
      <w:proofErr w:type="gramStart"/>
      <w:r>
        <w:rPr>
          <w:rFonts w:ascii="仿宋" w:eastAsia="仿宋" w:hAnsi="仿宋" w:cs="仿宋" w:hint="eastAsia"/>
          <w:sz w:val="32"/>
          <w:szCs w:val="32"/>
          <w:shd w:val="clear" w:color="auto" w:fill="FFFFFF"/>
        </w:rPr>
        <w:t>作出</w:t>
      </w:r>
      <w:proofErr w:type="gramEnd"/>
      <w:r>
        <w:rPr>
          <w:rFonts w:ascii="仿宋" w:eastAsia="仿宋" w:hAnsi="仿宋" w:cs="仿宋" w:hint="eastAsia"/>
          <w:sz w:val="32"/>
          <w:szCs w:val="32"/>
          <w:shd w:val="clear" w:color="auto" w:fill="FFFFFF"/>
        </w:rPr>
        <w:t>列</w:t>
      </w:r>
      <w:r>
        <w:rPr>
          <w:rFonts w:ascii="仿宋" w:eastAsia="仿宋" w:hAnsi="仿宋" w:cs="仿宋" w:hint="eastAsia"/>
          <w:color w:val="000000" w:themeColor="text1"/>
          <w:sz w:val="32"/>
          <w:szCs w:val="32"/>
          <w:shd w:val="clear" w:color="auto" w:fill="FFFFFF"/>
        </w:rPr>
        <w:t>举，而是概括表述为：</w:t>
      </w:r>
      <w:r>
        <w:rPr>
          <w:rFonts w:ascii="仿宋" w:eastAsia="仿宋" w:hAnsi="仿宋" w:cs="仿宋" w:hint="eastAsia"/>
          <w:color w:val="000000" w:themeColor="text1"/>
          <w:sz w:val="32"/>
          <w:szCs w:val="32"/>
        </w:rPr>
        <w:t>（一）住房城乡建设领域法律法规规章规定的行政处罚权；（二）依法确定的与城市管理相关的其他领域的行政处罚权。同时，明确</w:t>
      </w:r>
      <w:r>
        <w:rPr>
          <w:rFonts w:ascii="仿宋" w:eastAsia="仿宋" w:hAnsi="仿宋" w:cs="仿宋" w:hint="eastAsia"/>
          <w:bCs/>
          <w:color w:val="000000" w:themeColor="text1"/>
          <w:sz w:val="32"/>
          <w:szCs w:val="32"/>
        </w:rPr>
        <w:t>前款规定范围以外的行政处罚权，需要纳入城市管理执法部门执法范围的，由</w:t>
      </w:r>
      <w:r>
        <w:rPr>
          <w:rFonts w:ascii="仿宋" w:eastAsia="仿宋" w:hAnsi="仿宋" w:cs="仿宋" w:hint="eastAsia"/>
          <w:bCs/>
          <w:color w:val="000000" w:themeColor="text1"/>
          <w:sz w:val="32"/>
          <w:szCs w:val="32"/>
        </w:rPr>
        <w:t>本级人民政府提出申请，报省人民政府批准后实施，并由本级人民政府向社会公布。这样规定既能与机构改革和</w:t>
      </w:r>
      <w:r>
        <w:rPr>
          <w:rFonts w:ascii="仿宋" w:eastAsia="仿宋" w:hAnsi="仿宋" w:cs="仿宋" w:hint="eastAsia"/>
          <w:bCs/>
          <w:color w:val="000000" w:themeColor="text1"/>
          <w:sz w:val="32"/>
          <w:szCs w:val="32"/>
        </w:rPr>
        <w:t>5</w:t>
      </w:r>
      <w:r>
        <w:rPr>
          <w:rFonts w:ascii="仿宋" w:eastAsia="仿宋" w:hAnsi="仿宋" w:cs="仿宋" w:hint="eastAsia"/>
          <w:bCs/>
          <w:color w:val="000000" w:themeColor="text1"/>
          <w:sz w:val="32"/>
          <w:szCs w:val="32"/>
        </w:rPr>
        <w:t>个领域综合执法改革相衔接，又为今后市、县两级政府确定城市管理执法具体事项留下空间，保证条例的稳定性和可操作性。</w:t>
      </w:r>
    </w:p>
    <w:p w14:paraId="4C841759" w14:textId="77777777" w:rsidR="00BB7695" w:rsidRDefault="00CA15F9">
      <w:pPr>
        <w:spacing w:line="5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（二）关于城市管理执法协作机制。</w:t>
      </w:r>
      <w:r>
        <w:rPr>
          <w:rFonts w:ascii="仿宋" w:eastAsia="仿宋" w:hAnsi="仿宋" w:cs="仿宋" w:hint="eastAsia"/>
          <w:sz w:val="32"/>
          <w:szCs w:val="32"/>
        </w:rPr>
        <w:t>完善执法协作机制是形成执法工作合力、提升执法效能的重要保障。《条例》（修订草案</w:t>
      </w:r>
      <w:r>
        <w:rPr>
          <w:rFonts w:ascii="仿宋" w:eastAsia="仿宋" w:hAnsi="仿宋" w:cs="仿宋" w:hint="eastAsia"/>
          <w:sz w:val="32"/>
          <w:szCs w:val="32"/>
        </w:rPr>
        <w:t>公开征求意见稿</w:t>
      </w:r>
      <w:r>
        <w:rPr>
          <w:rFonts w:ascii="仿宋" w:eastAsia="仿宋" w:hAnsi="仿宋" w:cs="仿宋" w:hint="eastAsia"/>
          <w:sz w:val="32"/>
          <w:szCs w:val="32"/>
        </w:rPr>
        <w:t>）一是保留了现行《条例》中的城市管理执法部门与相关部门之间的信息互通共享机制相关条文；二是针对城市管理执法部门需要相关部门出具书面意见或者提供资料情形，较现行《条例》进一步细化规定了协作时限、协作要求等内容；三是新增规定城市管理执法部门与公安机关、检察机关、审判机关之间的行政执法与刑事司法衔接相关制度；四是在对现行《条例》第四十条修改基础上，按照省委</w:t>
      </w:r>
      <w:r>
        <w:rPr>
          <w:rFonts w:ascii="仿宋" w:eastAsia="仿宋" w:hAnsi="仿宋" w:cs="仿宋" w:hint="eastAsia"/>
          <w:sz w:val="32"/>
          <w:szCs w:val="32"/>
        </w:rPr>
        <w:t>5</w:t>
      </w:r>
      <w:r>
        <w:rPr>
          <w:rFonts w:ascii="仿宋" w:eastAsia="仿宋" w:hAnsi="仿宋" w:cs="仿宋" w:hint="eastAsia"/>
          <w:sz w:val="32"/>
          <w:szCs w:val="32"/>
        </w:rPr>
        <w:t>号文要求对公安城管联勤联动机制</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进</w:t>
      </w:r>
      <w:r>
        <w:rPr>
          <w:rFonts w:ascii="仿宋" w:eastAsia="仿宋" w:hAnsi="仿宋" w:cs="仿宋" w:hint="eastAsia"/>
          <w:sz w:val="32"/>
          <w:szCs w:val="32"/>
        </w:rPr>
        <w:lastRenderedPageBreak/>
        <w:t>一步明确规定；五是新增规定城市管理相对人失信行为联合惩戒制度。</w:t>
      </w:r>
    </w:p>
    <w:p w14:paraId="02807CA4" w14:textId="77777777" w:rsidR="00BB7695" w:rsidRDefault="00CA15F9">
      <w:pPr>
        <w:spacing w:line="580" w:lineRule="exact"/>
        <w:ind w:firstLineChars="200" w:firstLine="643"/>
        <w:rPr>
          <w:rFonts w:ascii="仿宋" w:eastAsia="仿宋" w:hAnsi="仿宋" w:cs="仿宋"/>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三）关于城市管理执法措施。</w:t>
      </w:r>
      <w:r>
        <w:rPr>
          <w:rFonts w:ascii="仿宋" w:eastAsia="仿宋" w:hAnsi="仿宋" w:cs="仿宋" w:hint="eastAsia"/>
          <w:sz w:val="32"/>
          <w:szCs w:val="32"/>
        </w:rPr>
        <w:t>城市管理执法措施欠缺和规范化不</w:t>
      </w:r>
      <w:r>
        <w:rPr>
          <w:rFonts w:ascii="仿宋" w:eastAsia="仿宋" w:hAnsi="仿宋" w:cs="仿宋" w:hint="eastAsia"/>
          <w:sz w:val="32"/>
          <w:szCs w:val="32"/>
        </w:rPr>
        <w:t>足，是制约执法和服务水平进一步提升的重要原因之一。《条例》（修订草案</w:t>
      </w:r>
      <w:r>
        <w:rPr>
          <w:rFonts w:ascii="仿宋" w:eastAsia="仿宋" w:hAnsi="仿宋" w:cs="仿宋" w:hint="eastAsia"/>
          <w:sz w:val="32"/>
          <w:szCs w:val="32"/>
        </w:rPr>
        <w:t>公开征求意见稿</w:t>
      </w:r>
      <w:r>
        <w:rPr>
          <w:rFonts w:ascii="仿宋" w:eastAsia="仿宋" w:hAnsi="仿宋" w:cs="仿宋" w:hint="eastAsia"/>
          <w:sz w:val="32"/>
          <w:szCs w:val="32"/>
        </w:rPr>
        <w:t>）一是新增城市管理执法部门在查处占用公共场所摆摊设点等行为时有权依法行使扣押权相关规定；二是新增城市管理执法部门在</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立即调查取证可能影响违法行为查处的情形下可以先行调查取证相关条文；三是根据《条例》综合性立法的定位，以及机构改革后城乡规划领域执法主体的变化，删除了现行《条例》中违法建筑拆除相关规定。</w:t>
      </w:r>
    </w:p>
    <w:p w14:paraId="163A41C0" w14:textId="77777777" w:rsidR="00BB7695" w:rsidRDefault="00CA15F9">
      <w:pPr>
        <w:spacing w:line="580" w:lineRule="exact"/>
        <w:ind w:firstLineChars="200" w:firstLine="643"/>
        <w:rPr>
          <w:rFonts w:ascii="仿宋" w:eastAsia="仿宋" w:hAnsi="仿宋" w:cs="仿宋"/>
          <w:sz w:val="32"/>
          <w:szCs w:val="32"/>
        </w:rPr>
      </w:pPr>
      <w:r>
        <w:rPr>
          <w:rFonts w:ascii="楷体" w:eastAsia="楷体" w:hAnsi="楷体" w:cs="楷体" w:hint="eastAsia"/>
          <w:b/>
          <w:bCs/>
          <w:sz w:val="32"/>
          <w:szCs w:val="32"/>
        </w:rPr>
        <w:t>（四）关于城市管理执法监督机制。</w:t>
      </w:r>
      <w:r>
        <w:rPr>
          <w:rFonts w:ascii="仿宋" w:eastAsia="仿宋" w:hAnsi="仿宋" w:cs="仿宋" w:hint="eastAsia"/>
          <w:sz w:val="32"/>
          <w:szCs w:val="32"/>
        </w:rPr>
        <w:t>为监督城市管理执法部门依法履职，《条例》（修订草案</w:t>
      </w:r>
      <w:r>
        <w:rPr>
          <w:rFonts w:ascii="仿宋" w:eastAsia="仿宋" w:hAnsi="仿宋" w:cs="仿宋" w:hint="eastAsia"/>
          <w:sz w:val="32"/>
          <w:szCs w:val="32"/>
        </w:rPr>
        <w:t>公开征求意见稿</w:t>
      </w:r>
      <w:r>
        <w:rPr>
          <w:rFonts w:ascii="仿宋" w:eastAsia="仿宋" w:hAnsi="仿宋" w:cs="仿宋" w:hint="eastAsia"/>
          <w:sz w:val="32"/>
          <w:szCs w:val="32"/>
        </w:rPr>
        <w:t>）构建了政府监督、上级主管部门监</w:t>
      </w:r>
      <w:r>
        <w:rPr>
          <w:rFonts w:ascii="仿宋" w:eastAsia="仿宋" w:hAnsi="仿宋" w:cs="仿宋" w:hint="eastAsia"/>
          <w:sz w:val="32"/>
          <w:szCs w:val="32"/>
        </w:rPr>
        <w:t>督、相关部门监督与社会监督相结合的城市管理执法工作监督体系。一是保留了现行《条例》中政府监督、相关部门监督和社会监督相关条文；二是新增规定上级城市管理执法部门对下级城市管理执法部门的监督检查制度。</w:t>
      </w:r>
    </w:p>
    <w:p w14:paraId="53F90FA2" w14:textId="77777777" w:rsidR="00BB7695" w:rsidRDefault="00CA15F9">
      <w:pPr>
        <w:spacing w:line="580" w:lineRule="exact"/>
        <w:ind w:firstLineChars="200" w:firstLine="643"/>
        <w:rPr>
          <w:rFonts w:ascii="仿宋" w:eastAsia="仿宋" w:hAnsi="仿宋" w:cs="仿宋"/>
          <w:sz w:val="32"/>
          <w:szCs w:val="32"/>
        </w:rPr>
      </w:pPr>
      <w:r>
        <w:rPr>
          <w:rFonts w:ascii="楷体" w:eastAsia="楷体" w:hAnsi="楷体" w:cs="楷体" w:hint="eastAsia"/>
          <w:b/>
          <w:bCs/>
          <w:sz w:val="32"/>
          <w:szCs w:val="32"/>
        </w:rPr>
        <w:t>（五）关于城市管理执法规范化建设。</w:t>
      </w:r>
      <w:r>
        <w:rPr>
          <w:rFonts w:ascii="仿宋" w:eastAsia="仿宋" w:hAnsi="仿宋" w:cs="仿宋" w:hint="eastAsia"/>
          <w:sz w:val="32"/>
          <w:szCs w:val="32"/>
        </w:rPr>
        <w:t>加强城市管理执法规范化建设，是杜绝执法方式粗放、越权执法、违反法定程序等突出问题，提升执法和服务水平的重要一环。《条例》（修订草案</w:t>
      </w:r>
      <w:r>
        <w:rPr>
          <w:rFonts w:ascii="仿宋" w:eastAsia="仿宋" w:hAnsi="仿宋" w:cs="仿宋" w:hint="eastAsia"/>
          <w:sz w:val="32"/>
          <w:szCs w:val="32"/>
        </w:rPr>
        <w:t>公开征求意见稿</w:t>
      </w:r>
      <w:r>
        <w:rPr>
          <w:rFonts w:ascii="仿宋" w:eastAsia="仿宋" w:hAnsi="仿宋" w:cs="仿宋" w:hint="eastAsia"/>
          <w:sz w:val="32"/>
          <w:szCs w:val="32"/>
        </w:rPr>
        <w:t>）一是保留了现行《条例》中关于执法人员持证上岗、着装、用语、举止以及办案流程、执法文书、处罚裁量等方面规定；二是新增规定城市管理执法</w:t>
      </w:r>
      <w:r>
        <w:rPr>
          <w:rFonts w:ascii="仿宋" w:eastAsia="仿宋" w:hAnsi="仿宋" w:cs="仿宋" w:hint="eastAsia"/>
          <w:sz w:val="32"/>
          <w:szCs w:val="32"/>
        </w:rPr>
        <w:lastRenderedPageBreak/>
        <w:t>法制</w:t>
      </w:r>
      <w:r>
        <w:rPr>
          <w:rFonts w:ascii="仿宋" w:eastAsia="仿宋" w:hAnsi="仿宋" w:cs="仿宋" w:hint="eastAsia"/>
          <w:sz w:val="32"/>
          <w:szCs w:val="32"/>
        </w:rPr>
        <w:t>审核制度，要求城市管理执法部门在实施重大行政处罚、重大行政强制时必须进行法制审核；三是新增规定城市管理执法全过程记录制度，要求城市管理执法部门和执法人员</w:t>
      </w:r>
      <w:r>
        <w:rPr>
          <w:rFonts w:ascii="仿宋" w:eastAsia="仿宋" w:hAnsi="仿宋" w:cs="仿宋" w:hint="eastAsia"/>
          <w:color w:val="000000" w:themeColor="text1"/>
          <w:sz w:val="32"/>
          <w:szCs w:val="32"/>
        </w:rPr>
        <w:t>应当通过文字、音像等方式对执法全过程进行客观、公正、完整的记录</w:t>
      </w:r>
      <w:r>
        <w:rPr>
          <w:rFonts w:ascii="仿宋" w:eastAsia="仿宋" w:hAnsi="仿宋" w:cs="仿宋" w:hint="eastAsia"/>
          <w:sz w:val="32"/>
          <w:szCs w:val="32"/>
        </w:rPr>
        <w:t>；四是新增规定城市管理执法协管人员管理制度，明确协管人员职责边界，要求城市管理执法部门完善</w:t>
      </w:r>
      <w:r>
        <w:rPr>
          <w:rFonts w:ascii="仿宋" w:eastAsia="仿宋" w:hAnsi="仿宋" w:cs="仿宋" w:hint="eastAsia"/>
          <w:color w:val="000000" w:themeColor="text1"/>
          <w:sz w:val="32"/>
          <w:szCs w:val="32"/>
        </w:rPr>
        <w:t>招聘录用、培训考核、淘汰辞退等制度，强调县级以上地方人民政府应当保障协管人员合法权益</w:t>
      </w:r>
      <w:r>
        <w:rPr>
          <w:rFonts w:ascii="仿宋" w:eastAsia="仿宋" w:hAnsi="仿宋" w:cs="仿宋" w:hint="eastAsia"/>
          <w:sz w:val="32"/>
          <w:szCs w:val="32"/>
        </w:rPr>
        <w:t>。</w:t>
      </w:r>
    </w:p>
    <w:p w14:paraId="14D9A321" w14:textId="77777777" w:rsidR="00BB7695" w:rsidRDefault="00CA15F9">
      <w:pPr>
        <w:spacing w:line="58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（六）关于城市管理执法保障。</w:t>
      </w:r>
      <w:r>
        <w:rPr>
          <w:rFonts w:ascii="仿宋" w:eastAsia="仿宋" w:hAnsi="仿宋" w:cs="仿宋" w:hint="eastAsia"/>
          <w:sz w:val="32"/>
          <w:szCs w:val="32"/>
        </w:rPr>
        <w:t>随着我省城市化进程不断推进和群众对美好城市生活需要不断提升，城市管理执法工作任务越来越重、要</w:t>
      </w:r>
      <w:r>
        <w:rPr>
          <w:rFonts w:ascii="仿宋" w:eastAsia="仿宋" w:hAnsi="仿宋" w:cs="仿宋" w:hint="eastAsia"/>
          <w:sz w:val="32"/>
          <w:szCs w:val="32"/>
        </w:rPr>
        <w:t>求越来越高。《条例》（修订草案</w:t>
      </w:r>
      <w:r>
        <w:rPr>
          <w:rFonts w:ascii="仿宋" w:eastAsia="仿宋" w:hAnsi="仿宋" w:cs="仿宋" w:hint="eastAsia"/>
          <w:sz w:val="32"/>
          <w:szCs w:val="32"/>
        </w:rPr>
        <w:t>公开征求意见稿</w:t>
      </w:r>
      <w:r>
        <w:rPr>
          <w:rFonts w:ascii="仿宋" w:eastAsia="仿宋" w:hAnsi="仿宋" w:cs="仿宋" w:hint="eastAsia"/>
          <w:sz w:val="32"/>
          <w:szCs w:val="32"/>
        </w:rPr>
        <w:t>）着眼于城市管理执法工作的现实需要和长远发展。一是保留了现行《条例》中关于城市管理执法人员配备相关条文；二是对县级以上地方人民政府加强城市管理执法信息化建设提出了更加明确的要求；三是强调县级以上地方人民政府应当进一步加强城市管理执法装备、执法车辆和经费保障。</w:t>
      </w:r>
    </w:p>
    <w:p w14:paraId="7C53E454" w14:textId="77777777" w:rsidR="00BB7695" w:rsidRDefault="00BB7695">
      <w:pPr>
        <w:spacing w:line="580" w:lineRule="exact"/>
        <w:rPr>
          <w:rFonts w:ascii="仿宋_GB2312" w:eastAsia="仿宋_GB2312" w:hAnsi="仿宋_GB2312" w:cs="仿宋_GB2312"/>
          <w:b/>
          <w:bCs/>
          <w:sz w:val="32"/>
          <w:szCs w:val="32"/>
        </w:rPr>
      </w:pPr>
    </w:p>
    <w:p w14:paraId="396B6553" w14:textId="77777777" w:rsidR="00BB7695" w:rsidRDefault="00BB7695">
      <w:pPr>
        <w:spacing w:line="580" w:lineRule="exact"/>
        <w:rPr>
          <w:rFonts w:ascii="仿宋_GB2312" w:eastAsia="仿宋_GB2312" w:hAnsi="仿宋_GB2312" w:cs="仿宋_GB2312"/>
          <w:b/>
          <w:bCs/>
          <w:sz w:val="32"/>
          <w:szCs w:val="32"/>
        </w:rPr>
      </w:pPr>
    </w:p>
    <w:p w14:paraId="681AEFE6" w14:textId="77777777" w:rsidR="00BB7695" w:rsidRDefault="00BB7695">
      <w:pPr>
        <w:spacing w:line="580" w:lineRule="exact"/>
        <w:ind w:leftChars="200" w:left="420"/>
        <w:rPr>
          <w:rFonts w:ascii="仿宋_GB2312" w:eastAsia="仿宋_GB2312" w:hAnsi="仿宋_GB2312" w:cs="仿宋_GB2312"/>
          <w:sz w:val="32"/>
          <w:szCs w:val="32"/>
        </w:rPr>
      </w:pPr>
    </w:p>
    <w:p w14:paraId="6C724715" w14:textId="77777777" w:rsidR="00BB7695" w:rsidRDefault="00BB7695">
      <w:pPr>
        <w:ind w:firstLineChars="400" w:firstLine="1280"/>
        <w:rPr>
          <w:rFonts w:ascii="仿宋_GB2312" w:eastAsia="仿宋_GB2312" w:hAnsi="仿宋_GB2312" w:cs="仿宋_GB2312"/>
          <w:sz w:val="32"/>
          <w:szCs w:val="32"/>
        </w:rPr>
      </w:pPr>
    </w:p>
    <w:p w14:paraId="771DEC7B" w14:textId="77777777" w:rsidR="00BB7695" w:rsidRDefault="00BB7695">
      <w:pPr>
        <w:rPr>
          <w:rFonts w:ascii="仿宋_GB2312" w:eastAsia="仿宋_GB2312" w:hAnsi="仿宋_GB2312" w:cs="仿宋_GB2312"/>
          <w:sz w:val="32"/>
          <w:szCs w:val="32"/>
        </w:rPr>
      </w:pPr>
    </w:p>
    <w:sectPr w:rsidR="00BB76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汉仪大宋简">
    <w:charset w:val="86"/>
    <w:family w:val="auto"/>
    <w:pitch w:val="default"/>
    <w:sig w:usb0="00000001" w:usb1="080E0800" w:usb2="00000002" w:usb3="00000000" w:csb0="00040000" w:csb1="00000000"/>
    <w:embedBold r:id="rId1" w:subsetted="1" w:fontKey="{C434108B-F592-43EF-9CA0-40628C497C6D}"/>
  </w:font>
  <w:font w:name="仿宋">
    <w:panose1 w:val="02010609060101010101"/>
    <w:charset w:val="86"/>
    <w:family w:val="modern"/>
    <w:pitch w:val="fixed"/>
    <w:sig w:usb0="800002BF" w:usb1="38CF7CFA" w:usb2="00000016" w:usb3="00000000" w:csb0="00040001" w:csb1="00000000"/>
    <w:embedRegular r:id="rId2" w:subsetted="1" w:fontKey="{5B1A0249-4CAC-4D24-BB73-2BC052C38E0C}"/>
  </w:font>
  <w:font w:name="黑体">
    <w:altName w:val="SimHei"/>
    <w:panose1 w:val="02010609060101010101"/>
    <w:charset w:val="86"/>
    <w:family w:val="modern"/>
    <w:pitch w:val="fixed"/>
    <w:sig w:usb0="800002BF" w:usb1="38CF7CFA" w:usb2="00000016" w:usb3="00000000" w:csb0="00040001" w:csb1="00000000"/>
    <w:embedBold r:id="rId3" w:subsetted="1" w:fontKey="{A17DCC72-ED4D-40EF-9B07-0458E7F03B20}"/>
  </w:font>
  <w:font w:name="仿宋_GB2312">
    <w:panose1 w:val="02010609030101010101"/>
    <w:charset w:val="86"/>
    <w:family w:val="modern"/>
    <w:pitch w:val="fixed"/>
    <w:sig w:usb0="00000001" w:usb1="080E0000" w:usb2="00000010" w:usb3="00000000" w:csb0="00040000" w:csb1="00000000"/>
    <w:embedRegular r:id="rId4" w:subsetted="1" w:fontKey="{37597473-1FD0-49EA-AA18-1832233C4B25}"/>
  </w:font>
  <w:font w:name="楷体">
    <w:panose1 w:val="02010609060101010101"/>
    <w:charset w:val="86"/>
    <w:family w:val="modern"/>
    <w:pitch w:val="fixed"/>
    <w:sig w:usb0="800002BF" w:usb1="38CF7CFA" w:usb2="00000016" w:usb3="00000000" w:csb0="00040001" w:csb1="00000000"/>
    <w:embedBold r:id="rId5" w:subsetted="1" w:fontKey="{A17D479B-C776-4802-962A-F1599B5E2D10}"/>
  </w:font>
  <w:font w:name="楷体_GB2312">
    <w:altName w:val="楷体"/>
    <w:panose1 w:val="02010609030101010101"/>
    <w:charset w:val="86"/>
    <w:family w:val="modern"/>
    <w:pitch w:val="fixed"/>
    <w:sig w:usb0="00000001" w:usb1="080E0000" w:usb2="00000010" w:usb3="00000000" w:csb0="00040000" w:csb1="00000000"/>
    <w:embedBold r:id="rId6" w:subsetted="1" w:fontKey="{CB0FE79D-7480-40A9-A9C9-0789503DC4A9}"/>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845212"/>
    <w:multiLevelType w:val="singleLevel"/>
    <w:tmpl w:val="B8845212"/>
    <w:lvl w:ilvl="0">
      <w:start w:val="1"/>
      <w:numFmt w:val="chineseCounting"/>
      <w:suff w:val="nothing"/>
      <w:lvlText w:val="%1、"/>
      <w:lvlJc w:val="left"/>
      <w:rPr>
        <w:rFonts w:hint="eastAsia"/>
      </w:rPr>
    </w:lvl>
  </w:abstractNum>
  <w:abstractNum w:abstractNumId="1" w15:restartNumberingAfterBreak="0">
    <w:nsid w:val="19574F4A"/>
    <w:multiLevelType w:val="multilevel"/>
    <w:tmpl w:val="19574F4A"/>
    <w:lvl w:ilvl="0">
      <w:start w:val="3"/>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FFEBD40"/>
    <w:multiLevelType w:val="singleLevel"/>
    <w:tmpl w:val="1FFEBD40"/>
    <w:lvl w:ilvl="0">
      <w:start w:val="3"/>
      <w:numFmt w:val="chineseCounting"/>
      <w:suff w:val="space"/>
      <w:lvlText w:val="第%1条"/>
      <w:lvlJc w:val="left"/>
      <w:rPr>
        <w:rFonts w:hint="eastAsia"/>
      </w:rPr>
    </w:lvl>
  </w:abstractNum>
  <w:abstractNum w:abstractNumId="3" w15:restartNumberingAfterBreak="0">
    <w:nsid w:val="276E4967"/>
    <w:multiLevelType w:val="singleLevel"/>
    <w:tmpl w:val="276E4967"/>
    <w:lvl w:ilvl="0">
      <w:start w:val="15"/>
      <w:numFmt w:val="chineseCounting"/>
      <w:suff w:val="space"/>
      <w:lvlText w:val="第%1条"/>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saveSubset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C91B61"/>
    <w:rsid w:val="00BB7695"/>
    <w:rsid w:val="00CA15F9"/>
    <w:rsid w:val="0B3328D1"/>
    <w:rsid w:val="0E6C3A14"/>
    <w:rsid w:val="0F680355"/>
    <w:rsid w:val="19F76ABA"/>
    <w:rsid w:val="20C720D4"/>
    <w:rsid w:val="22444E1E"/>
    <w:rsid w:val="2DC91B61"/>
    <w:rsid w:val="53F948B1"/>
    <w:rsid w:val="60D4156F"/>
    <w:rsid w:val="62A55DAD"/>
    <w:rsid w:val="7D0F2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DC766"/>
  <w15:docId w15:val="{85D048CD-F88D-4848-8E7D-921D7E46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pPr>
      <w:spacing w:beforeAutospacing="1" w:afterAutospacing="1"/>
      <w:jc w:val="left"/>
    </w:pPr>
    <w:rPr>
      <w:rFonts w:cs="Times New Roman"/>
      <w:kern w:val="0"/>
      <w:sz w:val="24"/>
    </w:rPr>
  </w:style>
  <w:style w:type="character" w:styleId="a5">
    <w:name w:val="Strong"/>
    <w:basedOn w:val="a0"/>
    <w:qFormat/>
    <w:rPr>
      <w:b/>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王哥</dc:creator>
  <cp:lastModifiedBy>XXZX</cp:lastModifiedBy>
  <cp:revision>2</cp:revision>
  <cp:lastPrinted>2020-09-21T07:17:00Z</cp:lastPrinted>
  <dcterms:created xsi:type="dcterms:W3CDTF">2020-09-21T09:05:00Z</dcterms:created>
  <dcterms:modified xsi:type="dcterms:W3CDTF">2020-09-21T09:05:00Z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